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5В0302</w:t>
      </w:r>
      <w:r w:rsidR="00E554DB">
        <w:rPr>
          <w:rFonts w:ascii="Times New Roman" w:hAnsi="Times New Roman"/>
          <w:b/>
          <w:sz w:val="24"/>
          <w:szCs w:val="24"/>
          <w:lang w:val="ru-RU"/>
        </w:rPr>
        <w:t>00 «Международное право»  курс-4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Y</w:t>
      </w:r>
      <w:r w:rsidR="00066D17" w:rsidRPr="00C34F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Р2122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«Основы устного 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перевода»</w:t>
      </w:r>
    </w:p>
    <w:p w:rsidR="00066D17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 семестр 2018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2339"/>
        <w:gridCol w:w="1351"/>
        <w:gridCol w:w="1605"/>
        <w:gridCol w:w="2785"/>
      </w:tblGrid>
      <w:tr w:rsidR="002C49EF" w:rsidTr="002C49EF">
        <w:tc>
          <w:tcPr>
            <w:tcW w:w="19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Pr="00C34F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Р2122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перевода»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C34F85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2C49EF" w:rsidRPr="00C34F85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2C49EF" w:rsidRPr="0013016D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C34F85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C34F85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C34F85" w:rsidRDefault="002C49EF" w:rsidP="002C49EF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C34F85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C34F85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perfect forms,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Participle,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Rights</w:t>
            </w:r>
            <w:r w:rsidR="00E6388D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13016D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 history of Russia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Grammatical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13016D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13016D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 Force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Semantically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acroeconomics, World economy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2D4E02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in</w:t>
            </w:r>
            <w:r w:rsidR="00AB47D8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Biotechnology, Conquering space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 games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F2445"/>
    <w:rsid w:val="002C49EF"/>
    <w:rsid w:val="002D4E02"/>
    <w:rsid w:val="002E48EF"/>
    <w:rsid w:val="002E6413"/>
    <w:rsid w:val="003414D4"/>
    <w:rsid w:val="00350B3F"/>
    <w:rsid w:val="00367A7A"/>
    <w:rsid w:val="00386E2F"/>
    <w:rsid w:val="00396F1A"/>
    <w:rsid w:val="003C39F4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E58F4"/>
    <w:rsid w:val="007E5EA6"/>
    <w:rsid w:val="008F2951"/>
    <w:rsid w:val="009A3F43"/>
    <w:rsid w:val="009B15B8"/>
    <w:rsid w:val="00A85BF7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36</cp:revision>
  <cp:lastPrinted>2018-09-24T13:39:00Z</cp:lastPrinted>
  <dcterms:created xsi:type="dcterms:W3CDTF">2018-01-28T10:05:00Z</dcterms:created>
  <dcterms:modified xsi:type="dcterms:W3CDTF">2018-09-24T13:44:00Z</dcterms:modified>
</cp:coreProperties>
</file>